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4B" w:rsidRPr="004D124B" w:rsidRDefault="004D124B" w:rsidP="004D12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70707"/>
          <w:sz w:val="28"/>
          <w:szCs w:val="24"/>
          <w:lang w:eastAsia="ru-RU"/>
        </w:rPr>
      </w:pPr>
      <w:r w:rsidRPr="004D124B">
        <w:rPr>
          <w:rFonts w:ascii="Arial" w:eastAsia="Times New Roman" w:hAnsi="Arial" w:cs="Arial"/>
          <w:b/>
          <w:color w:val="357BDB"/>
          <w:sz w:val="28"/>
          <w:szCs w:val="24"/>
          <w:lang w:eastAsia="ru-RU"/>
        </w:rPr>
        <w:t>Общие вопросы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Состав проектной документации разделы проектов зачастую нумеруются не в соответствии с требованиями, установленными Положением о составе разделов проектной документации и требованиям к их содержанию, утвержденного постановлением Правительства РФ от 16.02.2008 г. №87.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Исправления в проект вносятся не в соответствие ГОСТ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21.1101-2009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комплексный подход при корректировке отдельных разделов проектной документации по замечаниям экспертизы.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Наименования Объекта в заявке, задании на проектирование, доверенности Заявителя и на титульных листах разделов документации - разнятся;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Технико-экономические показатели в заявке, задании на проектирование разнятся с предоставляемым свидетельством регистрации собственности из комитета по имуществу;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Предоставляются доверенности без необходимых полномочий, часто не заверенные «мокрой» печатью;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На заявлениях для подачи документации на экспертизу отсутствует «мокрая» печать;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Состав и содержание разделов проектной документации не соответствует требованиям Постановления правительства РФ №87 от 16.02.2008г.;</w:t>
      </w:r>
    </w:p>
    <w:p w:rsidR="004D124B" w:rsidRPr="004D124B" w:rsidRDefault="004D124B" w:rsidP="004D1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Наименования и маркировка разделов проектной документации не соответствуют предоставляемым реестрам.</w:t>
      </w:r>
    </w:p>
    <w:p w:rsidR="004D124B" w:rsidRPr="004D124B" w:rsidRDefault="004D124B" w:rsidP="004D124B">
      <w:pPr>
        <w:pStyle w:val="1"/>
      </w:pPr>
      <w:r w:rsidRPr="004D124B">
        <w:t>Проект организации строительства и проект организации работ по сносу или демонтажу объектов капитального строительства</w:t>
      </w:r>
    </w:p>
    <w:p w:rsidR="004D124B" w:rsidRPr="004D124B" w:rsidRDefault="004D124B" w:rsidP="004D1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обоснования объемов и методов ведения строительных работ, дальности перевозок стройматериалов и их стоимости.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Инженерно-геологические изыскания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Техническое задание на производство инженерно-геологических изысканий не соответствует требованиям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11-02-96 п.4.13.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Количество горных выработок, их глубина и методика опробования не соответствует требованиям СП 11-105-97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ч.I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п.8.4, 8.5.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или просрочен допуск СРО.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Генплан и карта фактов не совпадают.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контрольные скважины при устаревшем отчете.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сведения о наличии подрабатываемых территорий.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Недостаточно обследованы соседние здания и сооружения.</w:t>
      </w:r>
    </w:p>
    <w:p w:rsidR="004D124B" w:rsidRPr="004D124B" w:rsidRDefault="004D124B" w:rsidP="004D1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техническом задании не указываются задачи капитального ремонта и реконструкции зданий, сооружений и линейных объектов.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lastRenderedPageBreak/>
        <w:t>Инженерно  -   геодезические изыскания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согласование подземных коммуникаций с эксплуатирующими организациями.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исходные данные для производства топографической съемки.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допуск СРО.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разрешение на представление данных федерального картографо-геодезического фонда.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Недостаточно информации по существующим инженерным коммуникациям (отметки, напряжение, давлении и т.п.).</w:t>
      </w:r>
    </w:p>
    <w:p w:rsidR="004D124B" w:rsidRPr="004D124B" w:rsidRDefault="004D124B" w:rsidP="004D1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Свидетельство о поверке геодезических приборов просрочено.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Схема планировочной организации земельного участка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составе исходных данных отсутствует Градостроительный план земельного участка.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Объекты проектирования и расчётные элементы благоустройства размещаются в нарушение требований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ч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. 1 статьи 48 Градостроительного кодекса РФ за границами предоставленного земельного участка, указанного в Градостроительном плане.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разрабатывается текстовая часть раздела.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Неправильно определяется количество жителей проектируемых жилых домов для последующего расчета площадок дворового благоустройства в соответствии с НГП ГО и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РО.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Неправильно рассчитываются площади нормируемых элементов дворовой территории.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Неправильно определяются площади необходимого озеленения.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Неправильно определяется необходимое количество мест хранения автомобилей.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баланс территории участка.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Неправильно применяются продольные уклоны на пути движения инвалидов на креслах-колясках.</w:t>
      </w:r>
    </w:p>
    <w:p w:rsidR="004D124B" w:rsidRPr="004D124B" w:rsidRDefault="004D124B" w:rsidP="004D1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Неправильно определяются объемы земляных масс.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Архитектурные решения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Наименование объекта и его проектные решения не соответствуют наименованию объекта в исходно-разрешительной документации: в Градостроительном плане, в Постановлениях органов местного самоуправления, в Задании на проектирование, в Технологическом задании.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Отсутствие в проектной документации исчерпывающего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cостава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проектной документации, изложенного в соответствии с требованиями ГОСТ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21.1101-2009, вследствие чего невозможно оценить правильность принятых решений.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>Одному объекту присваиваются разные наименования (иногда: четыре редакции наименования).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основных строительных показателях отсутствует показатель «Количество этажей».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Планы этажей располагают без учета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пребований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п.3.6 ГОСТ 21.508-93:</w:t>
      </w:r>
    </w:p>
    <w:p w:rsidR="004D124B" w:rsidRPr="004D124B" w:rsidRDefault="004D124B" w:rsidP="004D124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7" w:lineRule="atLeast"/>
        <w:ind w:left="868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Северная часть должна находиться вверху или с отклонением ориентации на север в пределах 90° вправо-влево;</w:t>
      </w:r>
    </w:p>
    <w:p w:rsidR="004D124B" w:rsidRPr="004D124B" w:rsidRDefault="004D124B" w:rsidP="004D124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47" w:lineRule="atLeast"/>
        <w:ind w:left="868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Координационные оси наносятся не верно: цифровые справа - налево; буквенные сверху – вниз.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выполняются требования по обеспечению доступа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маломобильных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групп населения (МГН). Раздел 10.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индивидуальном проектировании жилых домов игнорируются требования по устройству на 1-ом этаже, в подвале или цокольном этаже кладовой уборочного инвентаря.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индивидуальном проектировании жилых домов игнорируются требования по устройству помещений дежурного по подъезду, с устройством собственно рабочего помещения и санузла.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По заданиям на проектирование административно-бытовая планировка бытовых помещений (графическая часть) выполняется без расчёта гардеробного оборудования: с указанием общей численности (мужчин и женщин); работающих в максимальную смену (мужчин и женщин); групп производственных процессов; количества и размеров шкафов в гардеробах домашней и уличной одежды, в гардеробах специальной одежды; количества душевых; количества умывальников; количества уборных.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соответствие состава и количественных значений ТЭП, приведённых в Разделах: 2 (ПЗУ); 3 (АР) – ТЭП (общих), приведённых в Разделе 1 (ПЗ).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учитываются требования по продолжительности инсоляции, как по проектируемым объектам, так и (чаще всего) по окружающей застройке (Сан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2.2.1/2.1.1.1076-01).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учитываются требования по естественной освещенности, как по проектируемым объектам, так и (чаще всего) по окружающей застройке.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По общественным зданиям нарушаются требования п. 3.13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31-06-2009 - рабочие комнаты, кабинеты и др. помещения,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требуюшие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ограничений по уровню шума, располагаются над, под или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смежно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с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венткамерами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, тепловыми пунктами, насосными и другими помещениями с оборудованием, являющимся источником шума и вибраций.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По жилым многоквартирным зданиям не выполняются расчеты шума, в соответствии с п. п. 9.25, 9.26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31-01-2003. Не указываются в проектной документации индексы изоляции воздушного шума межквартирных стен и перегородок (п. 9.25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31-01-2003).</w:t>
      </w:r>
    </w:p>
    <w:p w:rsidR="004D124B" w:rsidRPr="004D124B" w:rsidRDefault="004D124B" w:rsidP="004D1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 xml:space="preserve">Нарушаются требования по ширине лифтовых холлов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общественных (п. 3.12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31-06-2009).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Конструктивные и объемно-планировочные решения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Представляемые конструктивные решения зданий и сооружений не в полной мере обосновываются результатами расчетов.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данные о принятых нагрузках и их сочетаниях, сведения о прочности конструктивных элементов по результатам расчета.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текстовой части не полно отражается суть конструктивных решений.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нарушение требований Положения о составе разделов проектной документации и требованиям к их содержанию, утвержденного постановлением Правительства РФ от 16.02.2008 г. №87 не представляются узлы армирования конструктивных элементов в каркасно-монолитных зданиях.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Отсутствуют материалы обследования зданий, находящихся в непосредственной близости от проектируемых, установленным требованиям ВСН 490-87 «Проектирование и устройство свайных фундаментов и шпунтовых ограждений в условиях реконструкции промышленных предприятий и городской застройки» и ГОСТ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53778-2010 «Здания и сооружения. Правила обследования и мониторинга технического состояния».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увязка объемно-планировочных решений в комплектах АР, КР и в схеме, принятой в расчет.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деформационные швы между высотными частями здания и пристроенными автостоянками, что приводит к значительному перерасходу конструкций и материалов при обеспечении нормативных деформаций (кренов и т.п.).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При проектировании сооружений на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просадочных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грунтах II типа нарушаются требования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2.01.09-91 «Здания и сооружения на подрабатываемых территориях и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просадочных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грунтах» по обеспечению конструктивных принципов защиты при возможном замачивании грунтов.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проектировании свайных оснований некорректно выбирается опорный слой в зависимости от вида свай и грунтовых условий.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реконструкции зданий необходимо выполнение инструментального детального обследования, а не только визуального обследования.</w:t>
      </w:r>
    </w:p>
    <w:p w:rsidR="004D124B" w:rsidRPr="004D124B" w:rsidRDefault="004D124B" w:rsidP="004D1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каркасно-монолитных зданиях:</w:t>
      </w:r>
    </w:p>
    <w:p w:rsidR="004D124B" w:rsidRPr="004D124B" w:rsidRDefault="004D124B" w:rsidP="004D12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47" w:lineRule="atLeast"/>
        <w:ind w:left="868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балки (балки-стенки, ребра жесткости) под «висячими» колоннами, стенами;</w:t>
      </w:r>
    </w:p>
    <w:p w:rsidR="004D124B" w:rsidRPr="004D124B" w:rsidRDefault="004D124B" w:rsidP="004D12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47" w:lineRule="atLeast"/>
        <w:ind w:left="868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консоли перекрытий имеют значительный вылет, не обеспечивающий нормативный прогиб.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lastRenderedPageBreak/>
        <w:t xml:space="preserve">Инженерное </w:t>
      </w:r>
      <w:r w:rsidRPr="004D124B">
        <w:rPr>
          <w:rFonts w:eastAsiaTheme="minorHAnsi"/>
        </w:rPr>
        <w:t>оборудование</w:t>
      </w:r>
      <w:r w:rsidRPr="004D124B">
        <w:t xml:space="preserve"> и сети инженерно-технического обеспечения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Отопление и вентиляция: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указываются категории помещений по взрывопожарной и пожарной безопасности (ГОСТ 21.602-2003).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решения по узлу учёта тепловой энергии и теплоносителя (ст.13 Федерального закона №261-ФЗ от 23.11.2009 г.).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Прокладка транзитных воздуховодов и размещение противопожарных клапанов не соответствует требованиям п.п. 6.54 – 6.65 СП 7.13130.2009.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предусматривается подача наружного воздуха при пожаре в автостоянку для возмещения объёмов удаляемых продуктов горения (п. 7.13 СП 7.13130.2009).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предусматривается система вытяжной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противодымной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вентиляции при наличии системы приточной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противодымной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вентиляции (п. 7.1 СП 7.13130.2009).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Оборудование вентиляционных систем размещено в кладовых и на чердаке в нарушение п. 6.36 СП 7.13130.2009.</w:t>
      </w:r>
    </w:p>
    <w:p w:rsidR="004D124B" w:rsidRPr="004D124B" w:rsidRDefault="004D124B" w:rsidP="004D1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Общие системы вентиляции для помещений с разными категориями по взрывопожарной безопасности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предусмотрен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без учета требований п.п. 6.6 СП 7.13130.2009.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Тепломеханические решения котельных и тепловые сети:</w:t>
      </w:r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Отсутствуют решения по оперативному дистанционному контролю тепловых сетей, выполненных из стальных труб с индустриальной тепловой изоляцией из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пенополиуретана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 полиэтиленовой оболочке (п.3.3 СП 41-105-2002).</w:t>
      </w:r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верно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выбираются места расположения проектируемых котельных (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II-35-76).</w:t>
      </w:r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Предусматривается надземная прокладка тепловых сетей по территории детских и лечебных заведений (п.9.1.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41-02-2003).</w:t>
      </w:r>
      <w:proofErr w:type="gramEnd"/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Расстояние прокладки тепловой сети до фундаментов зданий выполняются с нарушением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41-02-2003.</w:t>
      </w:r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Для объектов по производству тепловой энергии, мощностью более 5Гкал/ч не предусматривается комбинированная выработка тепловой и электрической энергии (Постановление Правительства от 31 декабря 2009 г. №1221).</w:t>
      </w:r>
    </w:p>
    <w:p w:rsidR="004D124B" w:rsidRPr="004D124B" w:rsidRDefault="004D124B" w:rsidP="004D12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Неверно определяется общая производительность котельной, не учитываются потери в сети и собственные нужды котельной, п.1.15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II-35-76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c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изм.1.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Система газоснабжения:</w:t>
      </w:r>
    </w:p>
    <w:p w:rsidR="004D124B" w:rsidRPr="004D124B" w:rsidRDefault="004D124B" w:rsidP="004D1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предоставляются сведения об оформлении решения (разрешения) об установлении видов и лимитов топлива для установок, потребляющих топливо </w:t>
      </w: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>(подпункт «а)» п.21 «Положения о составе разделов проектной документации и требованиях к их содержанию» утвержденного Постановлением Правительства Российской Федерации 16.02.2008г. №87).</w:t>
      </w:r>
    </w:p>
    <w:p w:rsidR="004D124B" w:rsidRPr="004D124B" w:rsidRDefault="004D124B" w:rsidP="004D1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разработке проектной документации на строительство газопроводов не предоставляются расчетные схемы, а также в технических условия отсутствует информация о наличии расчетной схемы (п.2.1.5 ПБ 12-529-03).</w:t>
      </w:r>
    </w:p>
    <w:p w:rsidR="004D124B" w:rsidRPr="004D124B" w:rsidRDefault="004D124B" w:rsidP="004D1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Прокладка газопроводов на участках пересечения с существующими дорогами и территориями, имеющими дорожное покрытие, выполняются без учета требований п.10.64 СП 42-101-2003.</w:t>
      </w:r>
    </w:p>
    <w:p w:rsidR="004D124B" w:rsidRPr="004D124B" w:rsidRDefault="004D124B" w:rsidP="004D12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прокладке газопроводов на подводных переходах не представляется информация о прогнозируемом профиле дна, подтверждаемая гидрогеологическими изысканиями.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Система электроснабжения:</w:t>
      </w:r>
    </w:p>
    <w:p w:rsidR="004D124B" w:rsidRPr="004D124B" w:rsidRDefault="004D124B" w:rsidP="004D12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выполняются проектные решения по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молниезащите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и заземлению ГРП и котельных (п.16 «Положения о составе разделов проектной документации и требованиях к их содержанию» утвержденного Постановлением Правительства Российской Федерации 16.02.2008г. №87).</w:t>
      </w:r>
    </w:p>
    <w:p w:rsidR="004D124B" w:rsidRPr="004D124B" w:rsidRDefault="004D124B" w:rsidP="004D12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Расположение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электрощитовых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помещений в затапливаемых подвальных помещениях или под санузлами не соответствует требованиям п.7.1.29 ПУЭ-7 изд.</w:t>
      </w:r>
    </w:p>
    <w:p w:rsidR="004D124B" w:rsidRPr="004D124B" w:rsidRDefault="004D124B" w:rsidP="004D12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Категория электроснабжения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электроприемников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определяется с нарушением СП 31-110-2003.</w:t>
      </w:r>
    </w:p>
    <w:p w:rsidR="004D124B" w:rsidRPr="004D124B" w:rsidRDefault="004D124B" w:rsidP="004D12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Расчет потребляемой электрической мощности зданий выполняется с нарушением СП 31-110-2003.</w:t>
      </w:r>
    </w:p>
    <w:p w:rsidR="004D124B" w:rsidRPr="004D124B" w:rsidRDefault="004D124B" w:rsidP="004D12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Питание аварийного освещения в зданиях выполняется с нарушением п.7.12 СП 31-110-2003.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Система водоснабжения и водоотведения: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верно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определяется расход воды на внутреннее пожаротушение для жилых и общественных зданий, а также административно-бытовых зданий промышленных предприятий (п.6.1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2.04.01-85*).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Расположение насосных установок (кроме пожарных) выполняется с нарушением требований п.12.4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2.04.01-85*.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выполняется с нарушением требований п.2.1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2.04.02-84*.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предусматривается очистка поверхностных сточных вод с территорий промышленных предприятий (п.3.23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2.04.03-85).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Прокладка внутренних сетей канализации выполняется с нарушением п.17.10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2.04.01-85*.</w:t>
      </w:r>
    </w:p>
    <w:p w:rsidR="004D124B" w:rsidRPr="004D124B" w:rsidRDefault="004D124B" w:rsidP="004D12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>Сети бытовой и производственной канализации организаций общественного питания встроенных в жилые дома и здания иного назначения объединяются с хозяйственно-фекальной канализацией этих зданий (п.3.11 СП 2.3.6.1079-01).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Пожарная сигнализация:</w:t>
      </w:r>
    </w:p>
    <w:p w:rsidR="004D124B" w:rsidRPr="004D124B" w:rsidRDefault="004D124B" w:rsidP="004D12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предусматривается сигнал на управление в автоматическом режиме установками оповещения,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дымоудаления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,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общеобменной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вентиляции и инженерным оборудованием объекта (р.14 п.14.1 СП5.13130.2009).</w:t>
      </w:r>
    </w:p>
    <w:p w:rsidR="004D124B" w:rsidRPr="004D124B" w:rsidRDefault="004D124B" w:rsidP="004D12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указываются категории помещений по взрывопожарной и пожарной опасности в соответствии с СП 12.13130.2009, класс помещения в соответствии с гл. 7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ПУЭ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что затрудняет выбор типа пожарных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извещателей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.</w:t>
      </w:r>
    </w:p>
    <w:p w:rsidR="004D124B" w:rsidRPr="004D124B" w:rsidRDefault="004D124B" w:rsidP="004D12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выполняется требование п.4.1 СП 6.13130.2009 предъявляемое к прокладке кабелей систем противопожарной защиты.</w:t>
      </w:r>
    </w:p>
    <w:p w:rsidR="004D124B" w:rsidRPr="004D124B" w:rsidRDefault="004D124B" w:rsidP="004D12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проектах по автоматическому водяному пожаротушению необходимо выполнять гидравлический расчет для определения правильности проектных решений.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Связь:</w:t>
      </w:r>
    </w:p>
    <w:p w:rsidR="004D124B" w:rsidRPr="004D124B" w:rsidRDefault="004D124B" w:rsidP="004D12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жилых зданиях не предусматривается телефонизация, радиофикация, телевидение (п.4.6.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31-01-2003).</w:t>
      </w:r>
      <w:proofErr w:type="gramEnd"/>
    </w:p>
    <w:p w:rsidR="004D124B" w:rsidRPr="004D124B" w:rsidRDefault="004D124B" w:rsidP="004D12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проектировании учреждений образования не выполняется система комплексной безопасности и антитеррористической защищенности (п.5.39.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31-06-2009).</w:t>
      </w:r>
      <w:proofErr w:type="gramEnd"/>
    </w:p>
    <w:p w:rsidR="004D124B" w:rsidRPr="004D124B" w:rsidRDefault="004D124B" w:rsidP="004D12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При выполнении проектов по системам кабельным структурированным (СКС) не выполняются требования п.7.3.3.2 и п.7.4.3.2 ГОСТ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53246-2008, предъявляемые к помещениям городского ввода и его освещению, а также к плану расстановки оборудования и организации доступа к помещению.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Автоматизация:</w:t>
      </w:r>
    </w:p>
    <w:p w:rsidR="004D124B" w:rsidRPr="004D124B" w:rsidRDefault="004D124B" w:rsidP="004D12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Отсутствует дистанционное управление оборудованием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противодымной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вентиляции от кнопок, установленных у эвакуационных выходов с этажей (п.7.19 СП 7.13130.2009).</w:t>
      </w:r>
    </w:p>
    <w:p w:rsidR="004D124B" w:rsidRPr="004D124B" w:rsidRDefault="004D124B" w:rsidP="004D12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Предоставляемые проектные решения по автоматизации тепловых пунктов, как правило, не учитывают требования п.8.17, п.9.2 СП41-101-95.</w:t>
      </w:r>
    </w:p>
    <w:p w:rsidR="004D124B" w:rsidRPr="004D124B" w:rsidRDefault="004D124B" w:rsidP="004D12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В котельных, работающих без постоянного персонала (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крышные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, блочно-модульные котельные) не предусматривается вывод сигнала на диспетчерский пункт (п.15.15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II-35-76*).</w:t>
      </w:r>
    </w:p>
    <w:p w:rsidR="004D124B" w:rsidRPr="004D124B" w:rsidRDefault="004D124B" w:rsidP="004D12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Предоставляемые проектные решения по разделу ТС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.О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ДК 4.74, как правило, не учитывают требования п.4.74 , п.6.53 СП41-105-2002.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Автоматическое пожаротушение:</w:t>
      </w:r>
    </w:p>
    <w:p w:rsidR="004D124B" w:rsidRPr="004D124B" w:rsidRDefault="004D124B" w:rsidP="004D12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>В проектах по автоматическому водяному пожаротушению отсутствуют световые указатели мест установки соединительных головок для подключения передвижной пожарной техники (п.12.3.7 СП 5.13130.2009).</w:t>
      </w:r>
    </w:p>
    <w:p w:rsidR="004D124B" w:rsidRPr="004D124B" w:rsidRDefault="004D124B" w:rsidP="004D12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предусматривается автоматический контроль состояния запорных устройств, установленных на вводных трубопроводах к пожарным насосам, на подводящих и питающих трубопроводах (п. 5.1.18.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СП 5.13130.2009).</w:t>
      </w:r>
      <w:proofErr w:type="gramEnd"/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Санитарно-эпидемиологическое благополучие</w:t>
      </w:r>
    </w:p>
    <w:p w:rsidR="004D124B" w:rsidRPr="004D124B" w:rsidRDefault="004D124B" w:rsidP="004D12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Представляются не четкий генеральный план и ситуационный план размещения объекта с характеристикой смежных участков, жилой застройки, характеристика объекта как источника загрязнения окружающей среды с определением и нанесением размера санитарно-защитной зоны на соответствие требованиям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 Новая редакция (с изменениями №1, №2, №3).</w:t>
      </w:r>
      <w:proofErr w:type="gramEnd"/>
    </w:p>
    <w:p w:rsidR="004D124B" w:rsidRPr="004D124B" w:rsidRDefault="004D124B" w:rsidP="004D12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представляются протоколы лабораторных испытаний почвы на земельном участке на санитарно-химические, микробиологические,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паразитологические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и радиологические показатели в соответствии с требованиями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2.1.7.1287-03 «Санитарно-эпидемиологические требования к качеству почвы»; п.2.2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2.1.2.2645-10 «Санитарно-эпидемиологические требования к условиям проживания в жилых зданиях и помещениях».</w:t>
      </w:r>
    </w:p>
    <w:p w:rsidR="004D124B" w:rsidRPr="004D124B" w:rsidRDefault="004D124B" w:rsidP="004D12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 представляются расчеты продолжительности инсоляции и КЕО жилых помещений проектируемого жилого дома, встроенных помещений, детских садов и др. и окружающих жилых домов, площадок отдыха на соответствие требованиям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2.2.1/2.1.1.1076-01 «Гигиенические требования к инсоляции и солнцезащите помещений жилых и общественных зданий и территорий»,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зданий».</w:t>
      </w:r>
      <w:proofErr w:type="gramEnd"/>
    </w:p>
    <w:p w:rsidR="004D124B" w:rsidRPr="004D124B" w:rsidRDefault="004D124B" w:rsidP="004D12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Проект зон санитарной охраны источников хозяйственно-питьевого водоснабжения не соответствуют требованиям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СанПиН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4D124B" w:rsidRPr="004D124B" w:rsidRDefault="004D124B" w:rsidP="004D124B">
      <w:pPr>
        <w:pStyle w:val="1"/>
        <w:rPr>
          <w:color w:val="070707"/>
        </w:rPr>
      </w:pPr>
      <w:proofErr w:type="spellStart"/>
      <w:proofErr w:type="gramStart"/>
      <w:r w:rsidRPr="004D124B">
        <w:t>M</w:t>
      </w:r>
      <w:proofErr w:type="gramEnd"/>
      <w:r w:rsidRPr="004D124B">
        <w:t>ероприятия</w:t>
      </w:r>
      <w:proofErr w:type="spellEnd"/>
      <w:r w:rsidRPr="004D124B">
        <w:t xml:space="preserve"> по пожарной безопасности</w:t>
      </w:r>
    </w:p>
    <w:p w:rsidR="004D124B" w:rsidRPr="004D124B" w:rsidRDefault="004D124B" w:rsidP="004D12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В большинстве случаев в соответствующих разделах и подразделах проектной документации не указываются категории по взрывопожарной и пожарной опасности для помещений производственного, складского и инженерно-технического назначения. Так как категории помещения являются одним из основополагающих факторов, влияющих на объемно-планировочные </w:t>
      </w: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>решения, а так же инженерно-техническое обеспечение зданий, это влечет значительные изменения проектной документации.</w:t>
      </w:r>
    </w:p>
    <w:p w:rsidR="004D124B" w:rsidRPr="004D124B" w:rsidRDefault="004D124B" w:rsidP="004D12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Проектные организации не привлекают к работе над проектом и в частности к разработке раздела «Мероприятия по обеспечению пожарной безопасности» специалистов в области пожарной безопасности, что влечет за собой множество ошибок и недочетов по элементарным вопросам, а так же крайне низкому качеству раздела «Мероприятия по обеспечению пожарной безопасности».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Мероприятия по охране окружающей среды</w:t>
      </w:r>
    </w:p>
    <w:p w:rsidR="004D124B" w:rsidRPr="004D124B" w:rsidRDefault="004D124B" w:rsidP="004D12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Раздел не соответствует Положению о составе разделов проектной документации и требованиях к их содержанию, утвержденному Постановлением Правительства Российской Федерации от 16 февраля 2008 г. N 87.</w:t>
      </w:r>
    </w:p>
    <w:p w:rsidR="004D124B" w:rsidRPr="004D124B" w:rsidRDefault="004D124B" w:rsidP="004D12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Представленные в разделе сведения и расчеты не соответствуют принятым проектным решениям.</w:t>
      </w:r>
    </w:p>
    <w:p w:rsidR="004D124B" w:rsidRPr="004D124B" w:rsidRDefault="004D124B" w:rsidP="004D12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необходимые согласования с контролирующими органами (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АзЧерТерРыбвод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, акт оценки зеленых насаждений и др.).</w:t>
      </w:r>
    </w:p>
    <w:p w:rsidR="004D124B" w:rsidRPr="004D124B" w:rsidRDefault="004D124B" w:rsidP="004D12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четкий ситуационный план.</w:t>
      </w:r>
    </w:p>
    <w:p w:rsidR="004D124B" w:rsidRPr="004D124B" w:rsidRDefault="004D124B" w:rsidP="004D12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Отсутствует допуск СРО.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Сметная документация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Объемы и затраты, включенные в сметную документацию, не соответствуют проекту или отсутствуют в проекте.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соответствие применяемых в сметной документации расценок принятым проектным решениям (не анализируется состав работ при выборе той или иной расценки).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Применение в проектах новых технологических решений, расценки по которым отсутствуют в сметно-нормативной базе.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Применение дорогостоящих материалов и оборудования, отсутствующих в сметно-нормативной базе, при наличии более дешевых. Отсутствие мониторинга стоимости при выборе материалов и оборудования. Отсутствие согласования цен с заказчиком.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Отсутствие в задании на проектирование перечня прочих затрат и услуг, подлежащих включению в сводный сметный расчет.</w:t>
      </w:r>
    </w:p>
    <w:p w:rsidR="004D124B" w:rsidRPr="004D124B" w:rsidRDefault="004D124B" w:rsidP="004D12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Отсутствие согласования общей стоимости объекта с заказчиком.</w:t>
      </w:r>
    </w:p>
    <w:p w:rsidR="004D124B" w:rsidRPr="004D124B" w:rsidRDefault="004D124B" w:rsidP="004D124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 </w:t>
      </w:r>
    </w:p>
    <w:p w:rsidR="004D124B" w:rsidRPr="004D124B" w:rsidRDefault="004D124B" w:rsidP="004D124B">
      <w:pPr>
        <w:pStyle w:val="1"/>
        <w:rPr>
          <w:color w:val="070707"/>
        </w:rPr>
      </w:pPr>
      <w:r w:rsidRPr="004D124B">
        <w:t>Автомобильные дороги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lastRenderedPageBreak/>
        <w:t xml:space="preserve">Отсутствуют согласования проектной документации органами ГИБДД (согласно </w:t>
      </w:r>
      <w:proofErr w:type="spell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СНиП</w:t>
      </w:r>
      <w:proofErr w:type="spell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2.05.02-85* </w:t>
      </w:r>
      <w:proofErr w:type="spellStart"/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</w:t>
      </w:r>
      <w:proofErr w:type="spellEnd"/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2.10).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правоустанавливающие документы на земельные участки при строительстве и реконструкции линейных объектов.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согласования планов с нанесением «красных линий» застройки с архитектурой.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соблюдаются классификации видов работ по капитальному ремонту линейных объектов, установленные приказом Министерства транспорта РФ от 12.11.2007 г. №160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соблюдаются Положения о составе разделов проектной документации и требованиям к их содержанию, утвержденного постановлением Правительства РФ от 16.02.2008 г. №87 в отношении содержания разделов для линейных объектов.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 соблюдаются положения требования ст.1, п.14.1, п.14.3 Градостроительного кодекса РФ.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Некорректное составление заказчиками технического задания на проектирование (категория нагрузок, вид и тип покрытия, интенсивность движения, геометрические параметры и т.д.).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Несоответствие содержания раздела по ПБ разделу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ПОС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(влечет повторное рассмотрение раздела ПБ).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Отсутствуют разделы по обследованию подлежащих капитальному ремонту или реконструкции существующих линейных объектов.</w:t>
      </w:r>
    </w:p>
    <w:p w:rsidR="004D124B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Отсутствуют расчеты конструкций опор находящихся ниже уровня земли для мостов и </w:t>
      </w:r>
      <w:proofErr w:type="gramStart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путепроводов</w:t>
      </w:r>
      <w:proofErr w:type="gramEnd"/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 xml:space="preserve"> подлежащих капитальному ремонту или реконструкции.</w:t>
      </w:r>
    </w:p>
    <w:p w:rsidR="003A5FC9" w:rsidRPr="004D124B" w:rsidRDefault="004D124B" w:rsidP="004D12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Arial" w:eastAsia="Times New Roman" w:hAnsi="Arial" w:cs="Arial"/>
          <w:color w:val="070707"/>
          <w:sz w:val="24"/>
          <w:szCs w:val="24"/>
          <w:lang w:eastAsia="ru-RU"/>
        </w:rPr>
      </w:pPr>
      <w:r w:rsidRPr="004D124B">
        <w:rPr>
          <w:rFonts w:ascii="Arial" w:eastAsia="Times New Roman" w:hAnsi="Arial" w:cs="Arial"/>
          <w:color w:val="070707"/>
          <w:sz w:val="24"/>
          <w:szCs w:val="24"/>
          <w:lang w:eastAsia="ru-RU"/>
        </w:rPr>
        <w:t>При расчетах конструкции дорожных одежд для автомобильных дорог необоснованно завышается модуль упругости.</w:t>
      </w:r>
    </w:p>
    <w:sectPr w:rsidR="003A5FC9" w:rsidRPr="004D124B" w:rsidSect="003A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A38"/>
    <w:multiLevelType w:val="multilevel"/>
    <w:tmpl w:val="1FCC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2125"/>
    <w:multiLevelType w:val="multilevel"/>
    <w:tmpl w:val="5E02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2D95"/>
    <w:multiLevelType w:val="multilevel"/>
    <w:tmpl w:val="D04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D45"/>
    <w:multiLevelType w:val="multilevel"/>
    <w:tmpl w:val="9D3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D69A1"/>
    <w:multiLevelType w:val="multilevel"/>
    <w:tmpl w:val="369C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A71B6"/>
    <w:multiLevelType w:val="multilevel"/>
    <w:tmpl w:val="5A9C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81820"/>
    <w:multiLevelType w:val="multilevel"/>
    <w:tmpl w:val="5CB8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1362A"/>
    <w:multiLevelType w:val="multilevel"/>
    <w:tmpl w:val="3530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31036"/>
    <w:multiLevelType w:val="multilevel"/>
    <w:tmpl w:val="2978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4642B"/>
    <w:multiLevelType w:val="multilevel"/>
    <w:tmpl w:val="161A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03195"/>
    <w:multiLevelType w:val="multilevel"/>
    <w:tmpl w:val="CAE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B2CE4"/>
    <w:multiLevelType w:val="multilevel"/>
    <w:tmpl w:val="BA3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01EFA"/>
    <w:multiLevelType w:val="multilevel"/>
    <w:tmpl w:val="4BB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B24D8"/>
    <w:multiLevelType w:val="multilevel"/>
    <w:tmpl w:val="761E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410BD"/>
    <w:multiLevelType w:val="multilevel"/>
    <w:tmpl w:val="B5A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D05B4"/>
    <w:multiLevelType w:val="multilevel"/>
    <w:tmpl w:val="DDB8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B13B6"/>
    <w:multiLevelType w:val="multilevel"/>
    <w:tmpl w:val="E0BA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27C0A"/>
    <w:multiLevelType w:val="multilevel"/>
    <w:tmpl w:val="E16A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92E7D"/>
    <w:multiLevelType w:val="multilevel"/>
    <w:tmpl w:val="6B82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02895"/>
    <w:multiLevelType w:val="multilevel"/>
    <w:tmpl w:val="1EDC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A7A99"/>
    <w:multiLevelType w:val="multilevel"/>
    <w:tmpl w:val="262E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20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124B"/>
    <w:rsid w:val="003A5FC9"/>
    <w:rsid w:val="004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4D124B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b/>
      <w:color w:val="357BDB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4D124B"/>
    <w:rPr>
      <w:rFonts w:ascii="Arial" w:eastAsia="Times New Roman" w:hAnsi="Arial" w:cs="Arial"/>
      <w:b/>
      <w:color w:val="357BDB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915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590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9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0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920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31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908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7046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665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884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2641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19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62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nazarenko_yav</dc:creator>
  <cp:lastModifiedBy>nazarenko_yav</cp:lastModifiedBy>
  <cp:revision>1</cp:revision>
  <dcterms:created xsi:type="dcterms:W3CDTF">2019-01-28T13:07:00Z</dcterms:created>
  <dcterms:modified xsi:type="dcterms:W3CDTF">2019-01-28T13:13:00Z</dcterms:modified>
</cp:coreProperties>
</file>